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2025/113 vom 31. März 2026</w:t>
      </w:r>
    </w:p>
    <w:p>
      <w:r>
        <w:t>Sg Versicherungsgericht, 2026-03-31, DE</w:t>
      </w:r>
    </w:p>
    <w:p>
      <w:r>
        <w:rPr>
          <w:b/>
        </w:rPr>
        <w:t xml:space="preserve">Quelle: </w:t>
      </w:r>
      <w:r>
        <w:t>https://mcp.opencaselaw.ch/entscheid/sg_publikationen_IV 2025_113</w:t>
      </w:r>
    </w:p>
    <w:p>
      <w:r>
        <w:t>FR: SG_VERSICHERUNGSGERICHT IV 2025/113 du 31 mars 2026</w:t>
      </w:r>
    </w:p>
    <w:p>
      <w:r>
        <w:t>IT: SG_VERSICHERUNGSGERICHT IV 2025/113 del 31 marzo 2026</w:t>
      </w:r>
    </w:p>
    <w:p>
      <w:pPr>
        <w:pStyle w:val="Heading2"/>
      </w:pPr>
      <w:r>
        <w:t>Regeste</w:t>
      </w:r>
    </w:p>
    <w:p>
      <w:r>
        <w:t>Art. 8 IVG. Art. 28 IVG. Berufliche Eingliederungsmassnahmen. Rente. Würdigung eines Administrativgutachtens. (Entscheid des Versicherungsgerichts des Kantons St. Gallen vom 31. März 2026, IV 2025/113).</w:t>
      </w:r>
    </w:p>
    <w:p>
      <w:pPr>
        <w:pStyle w:val="Heading2"/>
      </w:pPr>
      <w:r>
        <w:t>Erwägungen</w:t>
      </w:r>
    </w:p>
    <w:p>
      <w:r>
        <w:rPr>
          <w:b/>
        </w:rPr>
        <w:t>E. 1</w:t>
      </w:r>
    </w:p>
    <w:p>
      <w:r>
        <w:t>Entgegen der von der Beschwerdegegnerin in deren Beschwerdeantwort vertretenen Auffassung hat die angefochtene Verfügung nicht allein die Abweisung des Rentenbegehrens der Beschwerdeführerin zum Gegenstand gehabt. Mit der angefochtenen Verfügung hat die Beschwerdegegnerin nämlich auch das Begehren um berufliche Eingliederungsmassnahmen abgewiesen. Die angefochtene Verfügung betrifft also zwei Gegenstände. Die gemeinsame Behandlung der beiden Gegenstände, nämlich des allfälligen Rentenanspruchs und des allfälligen Anspruchs auf berufliche Eingliederungsmassnahmen, hat diese nicht „verschmelzen“ lassen, sondern nur den administrativen Aufwand reduziert. Der Beschwerdeführerin hat es frei gestanden, die Verfügung nur bezüglich eines der beiden Gegenstände anzufechten. Die Beschwerde richtet sich gegen die Verfügung als Ganzes und sie zielt auf eine Fortsetzung der Sachverhaltsabklärung ab, weshalb sie notwendigerweise beide Gegenstände betreffen muss. An sich hätten folglich zwei Beschwerdeverfahren eröffnet werden müssen. Zur Minimierung des administrativen Aufwandes sind die beiden Gegenstände aber auch im Beschwerdeverfahren gemeinsam behandelt worden. Das hat (weiterhin) nicht zu einer „Verschmelzung“ der beiden Gegenstände geführt, weshalb es den Parteien frei steht, diesen Entscheid nur bezüglich eines der beiden Gegenstände anzufechten. Diesem Umstand wird mit einer entsprechenden Aufteilung der Erwägungen und des Dispositivs Rechnung getragen.</w:t>
      </w:r>
    </w:p>
    <w:p>
      <w:r>
        <w:rPr>
          <w:b/>
        </w:rPr>
        <w:t>E. 2</w:t>
      </w:r>
    </w:p>
    <w:p>
      <w:r>
        <w:t>Den Akten lässt sich nicht entnehmen, ob und welche beruflichen Eingliederungsmassnahmen die Beschwerdegegnerin überhaupt geprüft hat. Da die Beschwerdeführerin aber als eine typische Hilfsarbeiterin zu qualifizieren ist und da sie für leidensadaptierte Hilfsarbeiten gestützt auf das in jeder Hinsicht überzeugende Gutachten der GA eins AG (das in somatischer Hinsicht dem ebenso überzeugenden Gutachten des Neurologicums Zürichsee entspricht) überwiegend wahrscheinlich uneingeschränkt arbeitsfähig ist (vgl. dazu die nachfolgende E. 3.2), kann nicht einmal ein Anspruch auf eine Arbeitsvermittlung bestanden haben. Auch wenn die Beschwerdegegnerin spezifisch ermittelt und geprüft hätte, ob ein Anspruch der Beschwerdeführerin auf irgendeine der in Frage kommenden beruflichen Eingliederungsmassnahmen gehabt hat, hätte sie letztlich das unspezifische Begehren um berufliche Eingliederungsmassnahmen (vollumfänglich) abweisen müssen, weil keine Eingliederungsmassnahmen existieren, auf die die Beschwerdeführerin einen Anspruch hätte haben können. Diesbezüglich erweist sich die angefochtene Verfügung folglich im Ergebnis als rechtmässig, weshalb die dagegen gerichtete Beschwerde abzuweisen ist. IV 2025/113 7/10</w:t>
      </w:r>
    </w:p>
    <w:p>
      <w:r>
        <w:rPr>
          <w:b/>
        </w:rPr>
        <w:t>E. 3.1</w:t>
      </w:r>
    </w:p>
    <w:p>
      <w:r>
        <w:t>Anders als in Bezug auf die beruflichen Eingliederungsmassmassnahmen ist bezüglich eines allfälligen Rentenanspruchs der Beschwerdeführerin massgebend, dass es sich beim hier zu prüfenden Rentenbegehren um eine sogenannte Wiederanmeldung nach der Abweisung eines früheren Rentenbegehrens gehandelt hat. Gemäss dem Art. 87 Abs. 3 IVV hat das Eintreten auf diese Wiederanmeldung das Glaubhaftmachen einer relevanten Sachverhaltsveränderung seit dem 8. Dezember 2005 vorausgesetzt. Die Beschwerdeführerin hat diese Eintretenshürde mit dem Hinweis auf zwei Stürze Ende des Jahres 2021 und zu Beginn des Jahres 2022 gemeistert, weshalb die Beschwerdegegnerin zu Recht auf die Wiederanmeldung eingetreten ist.</w:t>
      </w:r>
    </w:p>
    <w:p>
      <w:r>
        <w:rPr>
          <w:b/>
        </w:rPr>
        <w:t>E. 3.2</w:t>
      </w:r>
    </w:p>
    <w:p>
      <w:r>
        <w:t>Ein Anspruch auf eine Rente der Invalidenversicherung besteht gemäss dem Art. 28 Abs. 1 IVG, wenn die versicherte Person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des Invaliditätsgrades ist das Erwerbseinkommen, das die Beschwerdeführerin durch eine ihr zumutbare Erwerbstätigkeit bei einer ausgeglichenen Arbeitsmarktlage erzielen könnte, in Beziehung zu jenem Erwerbseinkommen zu setzen, das sie erzielen könnte, wenn sie gesund geblieben wäre. Die Beschwerdeführerin ist als eine typische Hilfsarbeiterin zu qualifizieren. Die Sachverständigen der GA eins AG haben nach einer umfassenden persönlichen Untersuchung und nach einer eingehenden Aktenwürdigung anhand der von ihnen erhobenen objektiven klinischen Befunde sorgfältig begründet und überzeugend aufgezeigt, dass weder in somatischer noch in psychischer Hinsicht eine Gesundheitsbeeinträchtigung vorgelegen hat, die die Beschwerdeführerin beim Verrichten einer leidensadaptierten Hilfsarbeit eingeschränkt hätte. In somatischer Hinsicht war bereits das Neurologicum Zürichsee, das ein orthopädisches Gutachten im Auftrag der Krankentaggeldversicherung erstellt hatte, zum selben Schluss gekommen. Der Sachverständige hatte nämlich festgehalten, dass sich kein Hinweis für einen Mindergebrauch des rechten Arms habe objektivieren lassen, dass keine strukturellen Läsionen im Bereich des unteren Rückens hätten festgestellt werden können, dass sich das niedrige Schmerzniveau im Serumspiegel für schmerzstillende Medikamente widergespiegelt habe, der keine Spuren der angegebenen Medikamente enthalten habe, dass sich die Beschwerden im Bereich des linken Sprunggelenks nur teilweise hätten objektivieren lassen, dass das von der Beschwerdeführerin gezeigte Gangbild keiner bekannten Verletzungsfolge entsprochen habe und als Aggravation qualifiziert werden müsse und dass sich keine objektive Beeinträchtigung mit Auswirkung auf die Arbeitsfähigkeit habe feststellen lassen. Der Hinweis im Austrittsbericht der Klinik G.___ betreffend die stationäre Rehabilitationsbehandlung von Januar bis Februar 2024, die Beschwerdeführerin habe sich aus psychiatrischer Sicht motiviert IV 2025/113 8/10</w:t>
      </w:r>
    </w:p>
    <w:p>
      <w:r>
        <w:t>gezeigt (vgl. IV-act. 120–8), weckt entgegen der Behauptung des Rechtsvertreters der Beschwerdeführerin keinen Zweifel am Administrativgutachten, da den behandelnden Ärzten die Vorgeschichte sowie die zahlreichen Hinweise auf Verdeutlichungs- und Aggravationstendenzen nicht bekannt gewesen sind und da der Bericht auch keinen Hinweis darauf enthält, dass die behandelnden Ärzte die Angaben der Beschwerdeführerin auf ihre Glaubwürdigkeit geprüft hätten. Welchen Erkenntnisgewinn eine ergänzende orthopädische Begutachtung geliefert hätte, ist nicht erkennbar, denn für die Arbeitsfähigkeit ist nicht die genaue Diagnose, sondern vielmehr das funktionelle Leistungsvermögen massgebend, das von den Sachverständigen der GA eins AG umfassend und detailliert geprüft und beschrieben worden ist. Die Aufnahme einer psychiatrischen Behandlung nach der Begutachtung besagt für sich allein in Bezug auf die Arbeitsfähigkeit nichts. Weshalb die anwaltlich vertretene Beschwerdeführerin, die wiederholt geltend gemacht hat, die entsprechenden Berichte müssten eingeholt werden, nicht von sich aus einen dieser angeblich relevanten Berichte eingereicht hat, ist nicht einzusehen. In den Akten deutet jedenfalls nichts darauf hin, dass in psychiatrischer Hinsicht eine relevante Tatsache übersehen worden wäre. Der RAD hat beide Gutachten als in jeder Hinsicht überzeugend qualifiziert. In den Akten finden sich keine Hinweise, die Zweifel am Gutachten der GA eins AG wecken würden. Folglich steht mit dem erforderlichen Beweisgrad der überwiegenden Wahrscheinlichkeit fest, dass der Beschwerdeführerin leidensadaptierte Hilfsarbeiten uneingeschränkt zumutbar gewesen sind und dass sie folglich in der Lage gewesen ist, einen durchschnittlichen Hilfsarbeiterinnenlohn zu erzielen. Das zumutbarerweise erzielbare Invalideneinkommen hat also dem Valideneinkommen entsprochen, was bedeutet, dass die Beschwerdeführerin nicht invalid gewesen ist (Invaliditätsgrad von null Prozent). Die Abweisung ihres Rentenbegehrens erweist sich damit als rechtmässig, weshalb die dagegen gerichtete Beschwerde abzuweisen ist.</w:t>
      </w:r>
    </w:p>
    <w:p>
      <w:r>
        <w:rPr>
          <w:b/>
        </w:rPr>
        <w:t>E. 4</w:t>
      </w:r>
    </w:p>
    <w:p>
      <w:r>
        <w:t>Die Beschwerdeführerin hat die Gerichtskosten von 400 Franken für das Beschwerdeverfahren betreffend Rente zu bezahlen; diese sind durch den von ihr geleisteten Kostenvorschuss gedeckt.</w:t>
      </w:r>
    </w:p>
    <w:p>
      <w:r>
        <w:rPr>
          <w:b/>
        </w:rPr>
        <w:t>E. 5</w:t>
      </w:r>
    </w:p>
    <w:p>
      <w:r>
        <w:t>Das Begehren um eine Parteientschädigung für das Beschwerdeverfahren betreffend berufliche Eingliederungsmassnahmen wird abgewiesen.</w:t>
      </w:r>
    </w:p>
    <w:p>
      <w:r>
        <w:rPr>
          <w:b/>
        </w:rPr>
        <w:t>E. 6</w:t>
      </w:r>
    </w:p>
    <w:p>
      <w:r>
        <w:t>Das Begehren um eine Parteientschädigung für das Beschwerdeverfahren betreffend Rente wird abgewiesen. IV 2025/113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